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3671D3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4056F">
        <w:rPr>
          <w:rFonts w:ascii="Azo Sans Md" w:hAnsi="Azo Sans Md" w:cstheme="minorHAnsi"/>
          <w:bCs/>
          <w:szCs w:val="24"/>
        </w:rPr>
        <w:t>234/2023</w:t>
      </w:r>
    </w:p>
    <w:p w14:paraId="1616DB90" w14:textId="3A6B0CB6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34056F">
        <w:rPr>
          <w:rFonts w:ascii="Azo Sans Md" w:hAnsi="Azo Sans Md" w:cstheme="minorHAnsi"/>
          <w:szCs w:val="24"/>
        </w:rPr>
        <w:t>16.611/2023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51FCF25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5D52B7">
        <w:rPr>
          <w:rFonts w:ascii="Azo Sans Lt" w:hAnsi="Azo Sans Lt" w:cstheme="minorHAnsi"/>
          <w:bCs/>
          <w:szCs w:val="24"/>
        </w:rPr>
        <w:t>GLOBAL POR LOTE</w:t>
      </w:r>
    </w:p>
    <w:p w14:paraId="7E9A5D0D" w14:textId="3354463A" w:rsidR="0063784D" w:rsidRPr="0034056F" w:rsidRDefault="004B3602" w:rsidP="007712B4">
      <w:pPr>
        <w:ind w:left="0" w:firstLine="0"/>
        <w:rPr>
          <w:rFonts w:ascii="Azo Sans Lt" w:hAnsi="Azo Sans Lt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34056F" w:rsidRPr="004B0DBE">
        <w:rPr>
          <w:rFonts w:ascii="Azo Sans Md" w:hAnsi="Azo Sans Md"/>
          <w:b/>
          <w:bCs/>
        </w:rPr>
        <w:t>EQUIPOS E SERINGAS PARA BOMBA DE INFUSÃO</w:t>
      </w:r>
      <w:r w:rsidR="0034056F" w:rsidRPr="0034056F">
        <w:rPr>
          <w:rFonts w:ascii="Azo Sans Lt" w:hAnsi="Azo Sans Lt" w:cstheme="minorHAnsi"/>
          <w:szCs w:val="24"/>
        </w:rPr>
        <w:t>, para atender às necessidades do Hospital Municipal Raul Sertã e Hospital Maternidade Dr. Mário Dutra de Castro, pelo período de 12 (doze) meses</w:t>
      </w:r>
      <w:r w:rsidR="004B28C9" w:rsidRPr="0034056F">
        <w:rPr>
          <w:rFonts w:ascii="Azo Sans Lt" w:hAnsi="Azo Sans Lt" w:cstheme="minorHAnsi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0123F43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34056F">
        <w:rPr>
          <w:rFonts w:ascii="Azo Sans Md" w:hAnsi="Azo Sans Md" w:cstheme="minorHAnsi"/>
          <w:sz w:val="22"/>
          <w:szCs w:val="22"/>
        </w:rPr>
        <w:t>234/2023,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34056F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34056F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</w:t>
      </w:r>
      <w:r w:rsidR="0034056F" w:rsidRPr="000C1096">
        <w:rPr>
          <w:rFonts w:ascii="Azo Sans Lt" w:hAnsi="Azo Sans Lt" w:cstheme="minorHAnsi"/>
          <w:sz w:val="22"/>
          <w:szCs w:val="22"/>
        </w:rPr>
        <w:t>AQUISIÇÃO</w:t>
      </w:r>
      <w:r w:rsidR="00A75B9A" w:rsidRPr="000C1096">
        <w:rPr>
          <w:rFonts w:ascii="Azo Sans Lt" w:hAnsi="Azo Sans Lt" w:cstheme="minorHAnsi"/>
          <w:sz w:val="22"/>
          <w:szCs w:val="22"/>
        </w:rPr>
        <w:t>, sob demanda,</w:t>
      </w:r>
      <w:r w:rsidR="0034056F">
        <w:rPr>
          <w:rFonts w:ascii="Azo Sans Lt" w:hAnsi="Azo Sans Lt" w:cstheme="minorHAnsi"/>
          <w:sz w:val="22"/>
          <w:szCs w:val="22"/>
        </w:rPr>
        <w:t xml:space="preserve"> de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  <w:r w:rsidR="0034056F" w:rsidRPr="004B0DBE">
        <w:rPr>
          <w:rFonts w:ascii="Azo Sans Md" w:hAnsi="Azo Sans Md"/>
          <w:b/>
          <w:bCs/>
        </w:rPr>
        <w:t>EQUIPOS E SERINGAS PARA BOMBA DE INFUSÃO</w:t>
      </w:r>
      <w:r w:rsidR="0034056F" w:rsidRPr="0034056F">
        <w:rPr>
          <w:rFonts w:ascii="Azo Sans Lt" w:hAnsi="Azo Sans Lt" w:cstheme="minorHAnsi"/>
        </w:rPr>
        <w:t xml:space="preserve">, </w:t>
      </w:r>
      <w:r w:rsidR="0034056F" w:rsidRPr="0034056F">
        <w:rPr>
          <w:rFonts w:ascii="Azo Sans Lt" w:hAnsi="Azo Sans Lt" w:cstheme="minorHAnsi"/>
          <w:sz w:val="22"/>
          <w:szCs w:val="22"/>
        </w:rPr>
        <w:t>para atender às necessidades do Hospital Municipal Raul Sertã e Hospital Maternidade Dr. Mário Dutra de Castro,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711C8AD" w14:textId="6E585CB8" w:rsidR="0034056F" w:rsidRDefault="0034056F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4EE9DED4" w14:textId="7D1638B6" w:rsidR="0034056F" w:rsidRDefault="0034056F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tbl>
      <w:tblPr>
        <w:tblW w:w="60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1239"/>
        <w:gridCol w:w="4399"/>
        <w:gridCol w:w="916"/>
        <w:gridCol w:w="696"/>
        <w:gridCol w:w="876"/>
        <w:gridCol w:w="1136"/>
        <w:gridCol w:w="816"/>
      </w:tblGrid>
      <w:tr w:rsidR="00937D64" w14:paraId="75ADE6A5" w14:textId="77777777" w:rsidTr="00937D64">
        <w:trPr>
          <w:trHeight w:val="148"/>
          <w:jc w:val="center"/>
        </w:trPr>
        <w:tc>
          <w:tcPr>
            <w:tcW w:w="3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4AFE1" w14:textId="77777777" w:rsidR="0034056F" w:rsidRDefault="0034056F" w:rsidP="00393FEB">
            <w:pPr>
              <w:pStyle w:val="PargrafodaLista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ITEM</w:t>
            </w:r>
          </w:p>
        </w:tc>
        <w:tc>
          <w:tcPr>
            <w:tcW w:w="4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0B54" w14:textId="77777777" w:rsidR="0034056F" w:rsidRDefault="0034056F" w:rsidP="00393FEB">
            <w:pPr>
              <w:pStyle w:val="PargrafodaLista"/>
              <w:ind w:left="0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CATMAT</w:t>
            </w:r>
          </w:p>
        </w:tc>
        <w:tc>
          <w:tcPr>
            <w:tcW w:w="21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B5F05" w14:textId="77777777" w:rsidR="0034056F" w:rsidRDefault="0034056F" w:rsidP="00393FEB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ESPECIFICAÇÃO</w:t>
            </w:r>
          </w:p>
        </w:tc>
        <w:tc>
          <w:tcPr>
            <w:tcW w:w="4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923EC" w14:textId="77777777" w:rsidR="0034056F" w:rsidRDefault="0034056F" w:rsidP="00393FEB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MARCA</w:t>
            </w:r>
          </w:p>
        </w:tc>
        <w:tc>
          <w:tcPr>
            <w:tcW w:w="3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3FE28" w14:textId="77777777" w:rsidR="0034056F" w:rsidRDefault="0034056F" w:rsidP="00393FEB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U/C</w:t>
            </w:r>
          </w:p>
        </w:tc>
        <w:tc>
          <w:tcPr>
            <w:tcW w:w="40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A342D" w14:textId="77777777" w:rsidR="0034056F" w:rsidRDefault="0034056F" w:rsidP="00393FEB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QTDE</w:t>
            </w:r>
          </w:p>
        </w:tc>
        <w:tc>
          <w:tcPr>
            <w:tcW w:w="8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06E8D" w14:textId="77777777" w:rsidR="0034056F" w:rsidRDefault="0034056F" w:rsidP="00393FEB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PREÇO</w:t>
            </w:r>
          </w:p>
        </w:tc>
      </w:tr>
      <w:tr w:rsidR="00937D64" w14:paraId="0662B625" w14:textId="77777777" w:rsidTr="00937D64">
        <w:trPr>
          <w:trHeight w:val="384"/>
          <w:jc w:val="center"/>
        </w:trPr>
        <w:tc>
          <w:tcPr>
            <w:tcW w:w="3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63676" w14:textId="77777777" w:rsidR="0034056F" w:rsidRDefault="0034056F" w:rsidP="00393FEB"/>
        </w:tc>
        <w:tc>
          <w:tcPr>
            <w:tcW w:w="4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423B5" w14:textId="77777777" w:rsidR="0034056F" w:rsidRDefault="0034056F" w:rsidP="00393FEB"/>
        </w:tc>
        <w:tc>
          <w:tcPr>
            <w:tcW w:w="21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AC49A" w14:textId="77777777" w:rsidR="0034056F" w:rsidRDefault="0034056F" w:rsidP="00393FEB"/>
        </w:tc>
        <w:tc>
          <w:tcPr>
            <w:tcW w:w="4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50683" w14:textId="77777777" w:rsidR="0034056F" w:rsidRDefault="0034056F" w:rsidP="00393FEB"/>
        </w:tc>
        <w:tc>
          <w:tcPr>
            <w:tcW w:w="3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79CC5" w14:textId="77777777" w:rsidR="0034056F" w:rsidRDefault="0034056F" w:rsidP="00393FEB"/>
        </w:tc>
        <w:tc>
          <w:tcPr>
            <w:tcW w:w="40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5E87E" w14:textId="77777777" w:rsidR="0034056F" w:rsidRDefault="0034056F" w:rsidP="00393FEB"/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E2B8" w14:textId="77777777" w:rsidR="0034056F" w:rsidRDefault="0034056F" w:rsidP="00393FEB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UNITÁRIO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A887B" w14:textId="77777777" w:rsidR="0034056F" w:rsidRDefault="0034056F" w:rsidP="00393FEB">
            <w:pPr>
              <w:pStyle w:val="PargrafodaLista"/>
              <w:ind w:left="0"/>
              <w:jc w:val="center"/>
              <w:rPr>
                <w:rFonts w:ascii="Calibri Light" w:hAnsi="Calibri Light"/>
                <w:b/>
                <w:sz w:val="23"/>
                <w:szCs w:val="23"/>
              </w:rPr>
            </w:pPr>
            <w:r>
              <w:rPr>
                <w:rFonts w:ascii="Calibri Light" w:hAnsi="Calibri Light"/>
                <w:b/>
                <w:sz w:val="23"/>
                <w:szCs w:val="23"/>
              </w:rPr>
              <w:t>TOTAL</w:t>
            </w:r>
          </w:p>
        </w:tc>
      </w:tr>
      <w:tr w:rsidR="0034056F" w14:paraId="563F19E2" w14:textId="77777777" w:rsidTr="00937D64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26CA8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LOTE 1</w:t>
            </w:r>
          </w:p>
        </w:tc>
      </w:tr>
      <w:tr w:rsidR="00937D64" w14:paraId="69E85B62" w14:textId="77777777" w:rsidTr="00937D64">
        <w:trPr>
          <w:trHeight w:val="2258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0DD6D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01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B6EC5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401937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5630A" w14:textId="77777777" w:rsidR="0034056F" w:rsidRDefault="0034056F" w:rsidP="00393FEB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Equipo em sistema fechado de infusão (com bureta) para administração de soluções </w:t>
            </w:r>
            <w:r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parenterais fracionadas em câmara graduada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para uso em bomba de infusão com as seguintes características: Ponta perfurante com entrada de ar padrão NBR (ISSO 8536-4), filtro bacteriológico de 0,22 UM, na entrada de ar, tubo extensor com pinça corta fluxo e câmara graduada entre 100ml e 150ml com alça de sustentação, injetor para medicação sem látex e entrada de ar com Filtro Bacteriológico de 0,22 UM, câmara de gotejamento flexível com gotejador padrão NBR 14041 (ISSO 8536-4) e filtro de partículas de 15 UM, tubo extensor de PVC com 2,80 m e volume de preenchimento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priming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) de 19ml, pinça rolete segmento de bombeamento de silicone grau médico de alta precisão, </w:t>
            </w: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injetor lateral sem látex com pinça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clamp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incorporada, terminação tipo Spin-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Lock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Slip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– Look Conjugados) com tampa protetora contendo membrana hidrófoba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Fluid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-Stop). Esterilizados por ETO. Compatível com a bomba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que deverá ser entregue em regime de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570EB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9ABA2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A2B88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4.380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4FDC3" w14:textId="1B1E82DF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7F755" w14:textId="65AF8F6F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D64" w14:paraId="2BBD84D9" w14:textId="77777777" w:rsidTr="00937D64">
        <w:trPr>
          <w:trHeight w:val="4485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6A0D6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02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EA3D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390985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FE5B" w14:textId="77777777" w:rsidR="0034056F" w:rsidRDefault="0034056F" w:rsidP="00393FEB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Equipo em sistema fechado de infusão para administração de soluções </w:t>
            </w:r>
            <w:r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parenterais fotossensíveis</w:t>
            </w:r>
            <w:r>
              <w:rPr>
                <w:rFonts w:ascii="Times New Roman" w:hAnsi="Times New Roman" w:cs="Calibri"/>
                <w:sz w:val="24"/>
                <w:szCs w:val="24"/>
              </w:rPr>
              <w:t>, para uso em bomba de infusão, com perfurante e gotejador padrão NBR 14041 (ISSO 8536-4), câmara de gotejamento flexível com filtro de partículas de 15 UM, tubo extensor de PVC com 2,80 m e volume de preenchimento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priming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>) de 24,04ml, pinça rolete segmento de bombeamento em silicone grau médico de alta precisão, injetor lateral sem látex com pinça incorporada, terminação tipo Spin-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Lock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Slip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– Look Conjugados) com tampa protetora contendo membrana hidrofóbica 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Fluid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-Stop). Esterilizados por ETO. Compatível com a bomba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que deverá ser entregue em regime de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C9485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A7348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55723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17.520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CCC94" w14:textId="2578A019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3511" w14:textId="7C8F6DEA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D64" w14:paraId="198B08D8" w14:textId="77777777" w:rsidTr="00937D64">
        <w:trPr>
          <w:trHeight w:val="4650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E511A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03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A04DF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392072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9C237" w14:textId="77777777" w:rsidR="0034056F" w:rsidRDefault="0034056F" w:rsidP="00393FEB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Equipo em sistema fechado de infusão para administração de soluções </w:t>
            </w:r>
            <w:r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parenterais</w:t>
            </w:r>
            <w:r>
              <w:rPr>
                <w:rFonts w:ascii="Times New Roman" w:hAnsi="Times New Roman" w:cs="Calibri"/>
                <w:sz w:val="24"/>
                <w:szCs w:val="24"/>
              </w:rPr>
              <w:t>, para uso em bombas de infusão, com perfurante e gotejador padrão NBR 14041 (ISSO 8536-4), câmara de gotejamento flexível com filtro de partículas de 15 UM, tubo extensor de PVC com 2,80 m e volume de preenchimento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priming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>) de 24,04ml, pinça rolete segmento de bombeamento em silicone grau médico de alta precisão, injetor lateral sem látex com pinça incorporada, terminação tipo Spin-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Lock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Slip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– Look Conjugados) com tampa protetora contendo membrana hidrófoba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Fluid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-Stop). Esterilizados por ETO. Compatível com a bomba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que deverá ser entregue em regime de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A4B4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7565F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95134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25.194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D17CC" w14:textId="3C643809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6DA22" w14:textId="1FA29CC0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56F" w14:paraId="76BFDE8B" w14:textId="77777777" w:rsidTr="00937D64">
        <w:trPr>
          <w:trHeight w:hRule="exact" w:val="567"/>
          <w:jc w:val="center"/>
        </w:trPr>
        <w:tc>
          <w:tcPr>
            <w:tcW w:w="4626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F0CAE" w14:textId="77777777" w:rsidR="0034056F" w:rsidRDefault="0034056F" w:rsidP="00393F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TOTAL LOTE 1</w:t>
            </w: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62A41" w14:textId="6BC6734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056F" w14:paraId="02410DAC" w14:textId="77777777" w:rsidTr="00937D64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98005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LOTE 2</w:t>
            </w:r>
          </w:p>
        </w:tc>
      </w:tr>
      <w:tr w:rsidR="00937D64" w14:paraId="5FDE3F0F" w14:textId="77777777" w:rsidTr="00937D64">
        <w:trPr>
          <w:trHeight w:val="3573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62866" w14:textId="59E16911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0</w:t>
            </w:r>
            <w:r w:rsidR="00EF7F75">
              <w:rPr>
                <w:rFonts w:ascii="Times New Roman" w:hAnsi="Times New Roman" w:cs="Calibri"/>
                <w:sz w:val="24"/>
                <w:szCs w:val="24"/>
              </w:rPr>
              <w:t>4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88B47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386028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3F271" w14:textId="77777777" w:rsidR="0034056F" w:rsidRDefault="0034056F" w:rsidP="00393FEB">
            <w:pPr>
              <w:pStyle w:val="Standard"/>
              <w:spacing w:after="0" w:line="240" w:lineRule="auto"/>
              <w:jc w:val="both"/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Equipo em sistema fechado de infusão para administração de soluções </w:t>
            </w:r>
            <w:r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enterais</w:t>
            </w:r>
            <w:r>
              <w:rPr>
                <w:rFonts w:ascii="Times New Roman" w:hAnsi="Times New Roman" w:cs="Calibri"/>
                <w:sz w:val="24"/>
                <w:szCs w:val="24"/>
              </w:rPr>
              <w:t>, para uso em bomba de infusão, com perfurante e gotejador padrão NBR 140419 (ISSO 8536-4) câmara de gotejamento flexível com filtro de partículas de 15 UM, tubo extensor de PVC com 2,80 m e volume de preenchimento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priming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>) de 24,04ml, pinça rolete segmento de bombeamento em silicone grau médico de alta precisão, injetor lateral sem látex com pinça incorporada, terminação tipo Spin-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Lock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Slip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– Look Conjugados) tampa protetora contendo membrana hidrófoba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Fluid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-Stop). Esterilizados por ETO. Compatível com a bomba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que deverá ser entregue em regime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8B61C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F40F0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B1F31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18.240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852C5" w14:textId="6FC3E873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C43B5" w14:textId="03D3CF49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56F" w14:paraId="6E023F32" w14:textId="77777777" w:rsidTr="00937D64">
        <w:trPr>
          <w:trHeight w:hRule="exact" w:val="567"/>
          <w:jc w:val="center"/>
        </w:trPr>
        <w:tc>
          <w:tcPr>
            <w:tcW w:w="4626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60727" w14:textId="77777777" w:rsidR="0034056F" w:rsidRDefault="0034056F" w:rsidP="00393F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TOTAL LOTE 2</w:t>
            </w: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D41CE" w14:textId="49B9882D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056F" w14:paraId="017973A9" w14:textId="77777777" w:rsidTr="00937D64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F4651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LOTE 3</w:t>
            </w:r>
          </w:p>
        </w:tc>
      </w:tr>
      <w:tr w:rsidR="00937D64" w14:paraId="7200E9A6" w14:textId="77777777" w:rsidTr="00937D64">
        <w:trPr>
          <w:trHeight w:val="2271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D2E4" w14:textId="0C1ECC11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0</w:t>
            </w:r>
            <w:r w:rsidR="00EF7F75">
              <w:rPr>
                <w:rFonts w:ascii="Times New Roman" w:hAnsi="Times New Roman" w:cs="Calibri"/>
                <w:sz w:val="24"/>
                <w:szCs w:val="24"/>
              </w:rPr>
              <w:t>5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54D05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412377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9624" w14:textId="77777777" w:rsidR="0034056F" w:rsidRDefault="0034056F" w:rsidP="00393FEB">
            <w:pPr>
              <w:pStyle w:val="Standard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Equipo extensor 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perfusor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120 cm) para uso em bomba de seringa com tubo em PVC de diâmetro reduzido com 120 cm, e volume de preenchimento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Priming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6 ml, terminação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fêmea numa extremidade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macho com rosca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look na outra extremidade esterilização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Eto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. Compatível com a bomba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seringa que deverá ser entregue em regime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4B2A8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686C2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B55E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2.400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6A3E1" w14:textId="2D9C85B3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9A236" w14:textId="6DA9FEB0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D64" w14:paraId="606F1F35" w14:textId="77777777" w:rsidTr="00937D64">
        <w:trPr>
          <w:trHeight w:val="2430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0850F" w14:textId="2B465FA3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F7F7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D5EC0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412377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8BE79" w14:textId="77777777" w:rsidR="0034056F" w:rsidRDefault="0034056F" w:rsidP="00393F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Equipo extensor neonatal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perfusor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120 cm) para uso em bomba de seringa com tubo em PVC de diâmetro reduzido com 120 cm, e volume de preenchimento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Priming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6ml, terminação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fêmea numa extremidade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macho com rosca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look na outra extremidade esterilização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Eto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. Compatível com a bomba de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seringa que deverá ser entregue em regime de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EFD1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DFD1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A4C4A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9.600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D73FE" w14:textId="70443839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7D18F" w14:textId="68C1DCE5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D64" w14:paraId="4AAB0264" w14:textId="77777777" w:rsidTr="00937D64">
        <w:trPr>
          <w:trHeight w:val="2385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D204D" w14:textId="4F95AC1C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>0</w:t>
            </w:r>
            <w:r w:rsidR="00EF7F75">
              <w:rPr>
                <w:rFonts w:ascii="Times New Roman" w:hAnsi="Times New Roman" w:cs="Calibri"/>
                <w:sz w:val="24"/>
                <w:szCs w:val="24"/>
              </w:rPr>
              <w:t>7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D00F6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412377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AD926" w14:textId="77777777" w:rsidR="0034056F" w:rsidRDefault="0034056F" w:rsidP="00393FEB">
            <w:pPr>
              <w:pStyle w:val="Standard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Equipo extensor neonatal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perfusor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20 cm) para uso em bomba de seringa com tubo em PVC de diâmetro reduzido com 20 cm, e volume de preenchimento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Priming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6ml, terminação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fêmea numa extremidade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macho com rosca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look na outra extremidade esterilização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Eto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. Compatível com a bomba de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seringa que deverá ser entregue em regime de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96358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4E6F6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D237D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2.799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74E1F" w14:textId="6B1CC7CB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CE1B0" w14:textId="042DC64A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D64" w14:paraId="23670C84" w14:textId="77777777" w:rsidTr="00937D64">
        <w:trPr>
          <w:trHeight w:hRule="exact" w:val="1587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78DEC" w14:textId="4B1EAEE3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0</w:t>
            </w:r>
            <w:r w:rsidR="00EF7F75">
              <w:rPr>
                <w:rFonts w:ascii="Times New Roman" w:hAnsi="Times New Roman" w:cs="Calibri"/>
                <w:sz w:val="24"/>
                <w:szCs w:val="24"/>
              </w:rPr>
              <w:t>8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C572B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439645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914EB" w14:textId="77777777" w:rsidR="0034056F" w:rsidRDefault="0034056F" w:rsidP="00393FEB">
            <w:pPr>
              <w:pStyle w:val="Standard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Seringa estéril descartável 20 ml, compatível com a bomba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seringa que deverá será entregue em regime de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43E6F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BF19B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09383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6.300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7D803" w14:textId="38CA6E96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6D99C" w14:textId="4A299874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7D64" w14:paraId="101CE446" w14:textId="77777777" w:rsidTr="00937D64">
        <w:trPr>
          <w:trHeight w:hRule="exact" w:val="1587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7EB6F" w14:textId="649F9A7F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0</w:t>
            </w:r>
            <w:r w:rsidR="00EF7F75">
              <w:rPr>
                <w:rFonts w:ascii="Times New Roman" w:hAnsi="Times New Roman" w:cs="Calibri"/>
                <w:sz w:val="24"/>
                <w:szCs w:val="24"/>
              </w:rPr>
              <w:t>9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FE61B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439646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B590C" w14:textId="77777777" w:rsidR="0034056F" w:rsidRDefault="0034056F" w:rsidP="00393FEB">
            <w:pPr>
              <w:pStyle w:val="Standard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Seringa estéril descartável 50 ml, compatível com a bomba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infusora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de seringa que deverá ser entregue em regime de comodato.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06E2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91119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1D5CF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7.308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424FC" w14:textId="4FE123D2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BDFFF" w14:textId="49013F2B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56F" w14:paraId="05B68D3E" w14:textId="77777777" w:rsidTr="00937D64">
        <w:trPr>
          <w:trHeight w:hRule="exact" w:val="567"/>
          <w:jc w:val="center"/>
        </w:trPr>
        <w:tc>
          <w:tcPr>
            <w:tcW w:w="4626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E1278" w14:textId="77777777" w:rsidR="0034056F" w:rsidRDefault="0034056F" w:rsidP="00393FE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TOTAL LOTE 3</w:t>
            </w: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7528B" w14:textId="0B2808E8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056F" w14:paraId="2DDDADA3" w14:textId="77777777" w:rsidTr="00937D64">
        <w:trPr>
          <w:trHeight w:hRule="exact" w:val="567"/>
          <w:jc w:val="center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548FB" w14:textId="77777777" w:rsidR="0034056F" w:rsidRDefault="0034056F" w:rsidP="00393FEB">
            <w:pPr>
              <w:pStyle w:val="Standard"/>
              <w:overflowPunct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LOTE 4</w:t>
            </w:r>
          </w:p>
        </w:tc>
      </w:tr>
      <w:tr w:rsidR="00937D64" w14:paraId="69EF4B4F" w14:textId="77777777" w:rsidTr="00937D64">
        <w:trPr>
          <w:trHeight w:val="2547"/>
          <w:jc w:val="center"/>
        </w:trPr>
        <w:tc>
          <w:tcPr>
            <w:tcW w:w="38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B01A2" w14:textId="323D9C2B" w:rsidR="0034056F" w:rsidRDefault="00EF7F75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10</w:t>
            </w:r>
          </w:p>
        </w:tc>
        <w:tc>
          <w:tcPr>
            <w:tcW w:w="462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A7F44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371700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11E42" w14:textId="77777777" w:rsidR="0034056F" w:rsidRDefault="0034056F" w:rsidP="00393FEB">
            <w:pPr>
              <w:pStyle w:val="Standard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Dispositivo de transferência de soluções (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Transofix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)- dispositivo para irrigação interna, com uma ponta perfurante padrão ISO e com protetor, na extremidade da outra ponta, dois orifícios de irrigação, único canal para fluxo do líquido e pega ergonômica para manipulação, com conexão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Luer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Lock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(fêmea), permite a retirada da solução através de uma seringa, embalagem individual, abertura em pétala. Esterilização ETO.</w:t>
            </w:r>
          </w:p>
        </w:tc>
        <w:tc>
          <w:tcPr>
            <w:tcW w:w="4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2998D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98C50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8CDF3" w14:textId="77777777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9.600</w:t>
            </w:r>
          </w:p>
        </w:tc>
        <w:tc>
          <w:tcPr>
            <w:tcW w:w="52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1CAE8" w14:textId="50CCD71C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E1C6" w14:textId="19EA690D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056F" w14:paraId="105E2891" w14:textId="77777777" w:rsidTr="00937D64">
        <w:trPr>
          <w:trHeight w:hRule="exact" w:val="567"/>
          <w:jc w:val="center"/>
        </w:trPr>
        <w:tc>
          <w:tcPr>
            <w:tcW w:w="4626" w:type="pct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9027F" w14:textId="77777777" w:rsidR="0034056F" w:rsidRDefault="0034056F" w:rsidP="00393FEB">
            <w:pPr>
              <w:pStyle w:val="Standard"/>
              <w:overflowPunct w:val="0"/>
              <w:spacing w:after="0" w:line="240" w:lineRule="auto"/>
              <w:jc w:val="right"/>
              <w:rPr>
                <w:rFonts w:ascii="Times New Roman" w:hAnsi="Times New Roman" w:cs="Calibri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Calibri"/>
                <w:b/>
                <w:bCs/>
                <w:sz w:val="28"/>
                <w:szCs w:val="28"/>
              </w:rPr>
              <w:t>TOTAL LOTE 4</w:t>
            </w:r>
          </w:p>
        </w:tc>
        <w:tc>
          <w:tcPr>
            <w:tcW w:w="37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9215" w14:textId="5D6540A3" w:rsidR="0034056F" w:rsidRDefault="0034056F" w:rsidP="00393FE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056F" w14:paraId="429402E0" w14:textId="77777777" w:rsidTr="00937D64">
        <w:trPr>
          <w:trHeight w:hRule="exact" w:val="856"/>
          <w:jc w:val="center"/>
        </w:trPr>
        <w:tc>
          <w:tcPr>
            <w:tcW w:w="462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6FCC0" w14:textId="77777777" w:rsidR="0034056F" w:rsidRDefault="0034056F" w:rsidP="00393FEB">
            <w:pPr>
              <w:pStyle w:val="Standard"/>
              <w:spacing w:after="0"/>
              <w:jc w:val="right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32"/>
                <w:szCs w:val="32"/>
              </w:rPr>
              <w:t>TOTAL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(Lote 1 + Lote 2 + Lote 3 + Lote 4)</w:t>
            </w:r>
          </w:p>
        </w:tc>
        <w:tc>
          <w:tcPr>
            <w:tcW w:w="3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AFC75" w14:textId="106D8389" w:rsidR="0034056F" w:rsidRDefault="0034056F" w:rsidP="00393FEB">
            <w:pPr>
              <w:pStyle w:val="Standard"/>
              <w:spacing w:after="0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</w:p>
        </w:tc>
      </w:tr>
    </w:tbl>
    <w:p w14:paraId="588AAC2E" w14:textId="77777777" w:rsidR="0034056F" w:rsidRDefault="0034056F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61A92BCD" w14:textId="77777777" w:rsidR="0034056F" w:rsidRPr="000C1096" w:rsidRDefault="0034056F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</w:p>
    <w:p w14:paraId="40B3BD4C" w14:textId="727B873E" w:rsidR="007A67F8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8003BA8" w14:textId="77777777" w:rsidR="00937D64" w:rsidRPr="000C1096" w:rsidRDefault="00937D64" w:rsidP="007A67F8">
      <w:pPr>
        <w:rPr>
          <w:rFonts w:ascii="Azo Sans Lt" w:hAnsi="Azo Sans Lt" w:cstheme="minorHAnsi"/>
          <w:b/>
          <w:sz w:val="22"/>
        </w:rPr>
      </w:pPr>
    </w:p>
    <w:p w14:paraId="0B730D2D" w14:textId="7B9F898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326B904E" w14:textId="5D5444C3" w:rsidR="00BB0E2C" w:rsidRDefault="00BB0E2C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lastRenderedPageBreak/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736290BE" w14:textId="77777777" w:rsidR="00BB0E2C" w:rsidRDefault="00BB0E2C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6AD8A9F5" w14:textId="77777777" w:rsidR="00BB0E2C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 xml:space="preserve">, contados da data da abertura </w:t>
      </w:r>
    </w:p>
    <w:p w14:paraId="0C527618" w14:textId="2757B572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>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4A7B2E3E" w14:textId="77777777" w:rsidR="00BB0E2C" w:rsidRDefault="00BB0E2C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B604FC1" w14:textId="14FD0A27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0BFD3F53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D731BD6" w14:textId="13FF9B90" w:rsidR="00937D64" w:rsidRDefault="00937D6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FFAD57" w14:textId="77777777" w:rsidR="00937D64" w:rsidRPr="000C1096" w:rsidRDefault="00937D64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73559490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937D6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35314A94" w:rsidR="00CE7D0D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F06E9C1" w14:textId="77777777" w:rsidR="00937D64" w:rsidRPr="000C1096" w:rsidRDefault="00937D64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34056F">
      <w:headerReference w:type="default" r:id="rId8"/>
      <w:pgSz w:w="11906" w:h="16838"/>
      <w:pgMar w:top="2142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E4AB6" w14:textId="77777777" w:rsidR="00414F5F" w:rsidRDefault="00414F5F" w:rsidP="007A67F8">
      <w:r>
        <w:separator/>
      </w:r>
    </w:p>
  </w:endnote>
  <w:endnote w:type="continuationSeparator" w:id="0">
    <w:p w14:paraId="12AC6309" w14:textId="77777777" w:rsidR="00414F5F" w:rsidRDefault="00414F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9E9EA" w14:textId="77777777" w:rsidR="00414F5F" w:rsidRDefault="00414F5F" w:rsidP="007A67F8">
      <w:r>
        <w:separator/>
      </w:r>
    </w:p>
  </w:footnote>
  <w:footnote w:type="continuationSeparator" w:id="0">
    <w:p w14:paraId="300838E5" w14:textId="77777777" w:rsidR="00414F5F" w:rsidRDefault="00414F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3A6C5" w14:textId="60BC8DD6" w:rsidR="0034056F" w:rsidRDefault="0034056F" w:rsidP="0034056F">
    <w:pPr>
      <w:ind w:left="426" w:hanging="851"/>
    </w:pPr>
    <w:bookmarkStart w:id="0" w:name="_Hlk103076390"/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8CDD48" wp14:editId="1B563F82">
              <wp:simplePos x="0" y="0"/>
              <wp:positionH relativeFrom="column">
                <wp:posOffset>4045585</wp:posOffset>
              </wp:positionH>
              <wp:positionV relativeFrom="paragraph">
                <wp:posOffset>144145</wp:posOffset>
              </wp:positionV>
              <wp:extent cx="1875790" cy="408305"/>
              <wp:effectExtent l="0" t="0" r="9529" b="10793"/>
              <wp:wrapNone/>
              <wp:docPr id="1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5790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3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txbx>
                      <w:txbxContent>
                        <w:p w14:paraId="770AB91B" w14:textId="77777777" w:rsidR="0034056F" w:rsidRDefault="0034056F" w:rsidP="0034056F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16.611/2023 </w:t>
                          </w:r>
                        </w:p>
                        <w:p w14:paraId="716C2BA7" w14:textId="77777777" w:rsidR="0034056F" w:rsidRDefault="0034056F" w:rsidP="0034056F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58CDD48" id="Retângulo 4" o:spid="_x0000_s1026" style="position:absolute;left:0;text-align:left;margin-left:318.55pt;margin-top:11.35pt;width:147.7pt;height:32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" strokeweight=".26008mm">
              <v:stroke joinstyle="round"/>
              <v:textbox>
                <w:txbxContent>
                  <w:p w14:paraId="770AB91B" w14:textId="77777777" w:rsidR="0034056F" w:rsidRDefault="0034056F" w:rsidP="0034056F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16.611/2023 </w:t>
                    </w:r>
                  </w:p>
                  <w:p w14:paraId="716C2BA7" w14:textId="77777777" w:rsidR="0034056F" w:rsidRDefault="0034056F" w:rsidP="0034056F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BB1AC36" wp14:editId="0A284287">
          <wp:simplePos x="0" y="0"/>
          <wp:positionH relativeFrom="column">
            <wp:posOffset>0</wp:posOffset>
          </wp:positionH>
          <wp:positionV relativeFrom="paragraph">
            <wp:posOffset>-67310</wp:posOffset>
          </wp:positionV>
          <wp:extent cx="3714750" cy="939165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End w:id="0"/>
  </w:p>
  <w:p w14:paraId="123A42EF" w14:textId="0C7D7E9E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2E2A99"/>
    <w:rsid w:val="002E3E10"/>
    <w:rsid w:val="0034056F"/>
    <w:rsid w:val="00375A56"/>
    <w:rsid w:val="00387F60"/>
    <w:rsid w:val="0039050B"/>
    <w:rsid w:val="00414F5F"/>
    <w:rsid w:val="00446624"/>
    <w:rsid w:val="004A3748"/>
    <w:rsid w:val="004A629C"/>
    <w:rsid w:val="004B28C9"/>
    <w:rsid w:val="004B3602"/>
    <w:rsid w:val="004C366B"/>
    <w:rsid w:val="005013DA"/>
    <w:rsid w:val="00505DA3"/>
    <w:rsid w:val="0054306A"/>
    <w:rsid w:val="005C7FAA"/>
    <w:rsid w:val="005D52B7"/>
    <w:rsid w:val="00630CF9"/>
    <w:rsid w:val="0063784D"/>
    <w:rsid w:val="00642D71"/>
    <w:rsid w:val="00652EAA"/>
    <w:rsid w:val="0065673B"/>
    <w:rsid w:val="0070659C"/>
    <w:rsid w:val="00723E9F"/>
    <w:rsid w:val="00752515"/>
    <w:rsid w:val="007548FD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37D64"/>
    <w:rsid w:val="0094777A"/>
    <w:rsid w:val="00974A2C"/>
    <w:rsid w:val="00A11166"/>
    <w:rsid w:val="00A62F5A"/>
    <w:rsid w:val="00A75B9A"/>
    <w:rsid w:val="00AD7DB6"/>
    <w:rsid w:val="00B659CB"/>
    <w:rsid w:val="00B77E71"/>
    <w:rsid w:val="00B8036D"/>
    <w:rsid w:val="00BA5E81"/>
    <w:rsid w:val="00BB0E2C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EF7F75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34056F"/>
    <w:pPr>
      <w:suppressAutoHyphens/>
      <w:autoSpaceDN w:val="0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31036-6430-472E-8CA9-810437594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1088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55</cp:revision>
  <cp:lastPrinted>2022-01-13T14:58:00Z</cp:lastPrinted>
  <dcterms:created xsi:type="dcterms:W3CDTF">2021-05-27T14:26:00Z</dcterms:created>
  <dcterms:modified xsi:type="dcterms:W3CDTF">2023-11-27T18:32:00Z</dcterms:modified>
</cp:coreProperties>
</file>